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68363" w14:textId="669D37FC" w:rsidR="00A8698A" w:rsidRPr="00A8698A" w:rsidRDefault="00A8698A" w:rsidP="00A8698A">
      <w:pPr>
        <w:spacing w:after="0" w:line="240" w:lineRule="auto"/>
        <w:rPr>
          <w:rFonts w:ascii="Times New Roman" w:eastAsia="Times New Roman" w:hAnsi="Times New Roman" w:cs="Times New Roman"/>
          <w:sz w:val="24"/>
          <w:szCs w:val="24"/>
        </w:rPr>
      </w:pPr>
      <w:bookmarkStart w:id="0" w:name="_Hlk97025637"/>
      <w:r>
        <w:rPr>
          <w:rFonts w:ascii="Times New Roman" w:eastAsia="Times New Roman" w:hAnsi="Times New Roman" w:cs="Times New Roman"/>
          <w:sz w:val="24"/>
          <w:szCs w:val="24"/>
        </w:rPr>
        <w:t xml:space="preserve">                                                                                                 </w:t>
      </w:r>
      <w:r w:rsidRPr="00A8698A">
        <w:rPr>
          <w:rFonts w:ascii="Times New Roman" w:eastAsia="Times New Roman" w:hAnsi="Times New Roman" w:cs="Times New Roman"/>
          <w:sz w:val="24"/>
          <w:szCs w:val="24"/>
        </w:rPr>
        <w:t xml:space="preserve">TƏSDİQ EDİLMİŞDİR </w:t>
      </w:r>
    </w:p>
    <w:p w14:paraId="1F3B68D3" w14:textId="7777777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Azərbaycan Respublikası</w:t>
      </w:r>
    </w:p>
    <w:p w14:paraId="453123DE" w14:textId="7777777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Səhiyyə Nazirliyi</w:t>
      </w:r>
    </w:p>
    <w:p w14:paraId="0939E4DA" w14:textId="7777777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Farmakoloji və Farmakopeya</w:t>
      </w:r>
    </w:p>
    <w:p w14:paraId="0D0D3393" w14:textId="7777777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Ekspert Şurasının sədri</w:t>
      </w:r>
    </w:p>
    <w:p w14:paraId="4E80409B" w14:textId="77777777" w:rsidR="00A8698A" w:rsidRPr="00A8698A" w:rsidRDefault="00A8698A" w:rsidP="00A8698A">
      <w:pPr>
        <w:spacing w:after="0" w:line="240" w:lineRule="auto"/>
        <w:rPr>
          <w:rFonts w:ascii="Times New Roman" w:eastAsia="Times New Roman" w:hAnsi="Times New Roman" w:cs="Times New Roman"/>
          <w:sz w:val="24"/>
          <w:szCs w:val="24"/>
        </w:rPr>
      </w:pPr>
    </w:p>
    <w:p w14:paraId="293B489C" w14:textId="7777777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_____________  E.M.Ağayev</w:t>
      </w:r>
    </w:p>
    <w:p w14:paraId="625D5B64" w14:textId="7777777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w:t>
      </w:r>
    </w:p>
    <w:p w14:paraId="3287F98C" w14:textId="21F1BFB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w:t>
      </w:r>
      <w:r w:rsidR="007D57C8">
        <w:rPr>
          <w:rFonts w:ascii="Times New Roman" w:eastAsia="Times New Roman" w:hAnsi="Times New Roman" w:cs="Times New Roman"/>
          <w:sz w:val="24"/>
          <w:szCs w:val="24"/>
        </w:rPr>
        <w:t xml:space="preserve">                  ________</w:t>
      </w:r>
      <w:r w:rsidRPr="00A8698A">
        <w:rPr>
          <w:rFonts w:ascii="Times New Roman" w:eastAsia="Times New Roman" w:hAnsi="Times New Roman" w:cs="Times New Roman"/>
          <w:sz w:val="24"/>
          <w:szCs w:val="24"/>
        </w:rPr>
        <w:t>___________  202</w:t>
      </w:r>
      <w:r w:rsidR="00DC310D">
        <w:rPr>
          <w:rFonts w:ascii="Times New Roman" w:eastAsia="Times New Roman" w:hAnsi="Times New Roman" w:cs="Times New Roman"/>
          <w:sz w:val="24"/>
          <w:szCs w:val="24"/>
        </w:rPr>
        <w:t>3</w:t>
      </w:r>
      <w:r w:rsidRPr="00A8698A">
        <w:rPr>
          <w:rFonts w:ascii="Times New Roman" w:eastAsia="Times New Roman" w:hAnsi="Times New Roman" w:cs="Times New Roman"/>
          <w:sz w:val="24"/>
          <w:szCs w:val="24"/>
        </w:rPr>
        <w:t>-c</w:t>
      </w:r>
      <w:r w:rsidR="00DC310D">
        <w:rPr>
          <w:rFonts w:ascii="Times New Roman" w:eastAsia="Times New Roman" w:hAnsi="Times New Roman" w:cs="Times New Roman"/>
          <w:sz w:val="24"/>
          <w:szCs w:val="24"/>
        </w:rPr>
        <w:t>ü</w:t>
      </w:r>
      <w:bookmarkStart w:id="1" w:name="_GoBack"/>
      <w:bookmarkEnd w:id="1"/>
      <w:r w:rsidRPr="00A8698A">
        <w:rPr>
          <w:rFonts w:ascii="Times New Roman" w:eastAsia="Times New Roman" w:hAnsi="Times New Roman" w:cs="Times New Roman"/>
          <w:sz w:val="24"/>
          <w:szCs w:val="24"/>
        </w:rPr>
        <w:t xml:space="preserve"> il</w:t>
      </w:r>
    </w:p>
    <w:p w14:paraId="257D511E" w14:textId="77777777" w:rsidR="00A8698A" w:rsidRPr="00A8698A" w:rsidRDefault="00A8698A" w:rsidP="00A8698A">
      <w:pPr>
        <w:spacing w:after="0" w:line="240" w:lineRule="auto"/>
        <w:rPr>
          <w:rFonts w:ascii="Times New Roman" w:eastAsia="Times New Roman" w:hAnsi="Times New Roman" w:cs="Times New Roman"/>
          <w:sz w:val="24"/>
          <w:szCs w:val="24"/>
        </w:rPr>
      </w:pPr>
    </w:p>
    <w:p w14:paraId="539DBCE5" w14:textId="77777777" w:rsidR="00A8698A" w:rsidRPr="00A8698A" w:rsidRDefault="00A8698A" w:rsidP="00A8698A">
      <w:pPr>
        <w:spacing w:after="0" w:line="240" w:lineRule="auto"/>
        <w:rPr>
          <w:rFonts w:ascii="Times New Roman" w:eastAsia="Times New Roman" w:hAnsi="Times New Roman" w:cs="Times New Roman"/>
          <w:sz w:val="24"/>
          <w:szCs w:val="24"/>
        </w:rPr>
      </w:pPr>
    </w:p>
    <w:p w14:paraId="65648497" w14:textId="77777777" w:rsidR="00A8698A" w:rsidRPr="00A8698A" w:rsidRDefault="00A8698A" w:rsidP="00A8698A">
      <w:pPr>
        <w:spacing w:after="0" w:line="240" w:lineRule="auto"/>
        <w:rPr>
          <w:rFonts w:ascii="Times New Roman" w:eastAsia="Times New Roman" w:hAnsi="Times New Roman" w:cs="Times New Roman"/>
          <w:sz w:val="24"/>
          <w:szCs w:val="24"/>
        </w:rPr>
      </w:pPr>
      <w:r w:rsidRPr="00A8698A">
        <w:rPr>
          <w:rFonts w:ascii="Times New Roman" w:eastAsia="Times New Roman" w:hAnsi="Times New Roman" w:cs="Times New Roman"/>
          <w:sz w:val="24"/>
          <w:szCs w:val="24"/>
        </w:rPr>
        <w:t xml:space="preserve">                             Dərman vasitəsinin istifadəsi üzrə təlimat (xəstələr üçün)</w:t>
      </w:r>
    </w:p>
    <w:bookmarkEnd w:id="0"/>
    <w:p w14:paraId="7A9AF7C4" w14:textId="77777777" w:rsidR="00C52FD5" w:rsidRDefault="00C52FD5" w:rsidP="00C52FD5">
      <w:pPr>
        <w:spacing w:after="0" w:line="240" w:lineRule="auto"/>
        <w:jc w:val="center"/>
        <w:rPr>
          <w:rFonts w:ascii="Times New Roman" w:eastAsia="Times New Roman" w:hAnsi="Times New Roman" w:cs="Times New Roman"/>
          <w:b/>
          <w:sz w:val="24"/>
          <w:szCs w:val="24"/>
        </w:rPr>
      </w:pPr>
    </w:p>
    <w:p w14:paraId="26200B1F" w14:textId="77777777" w:rsidR="00C52FD5" w:rsidRDefault="00C52FD5" w:rsidP="00C52FD5">
      <w:pPr>
        <w:spacing w:after="0" w:line="240" w:lineRule="auto"/>
        <w:jc w:val="center"/>
        <w:rPr>
          <w:rFonts w:ascii="Times New Roman" w:eastAsia="Times New Roman" w:hAnsi="Times New Roman" w:cs="Times New Roman"/>
          <w:b/>
          <w:sz w:val="24"/>
          <w:szCs w:val="24"/>
        </w:rPr>
      </w:pPr>
    </w:p>
    <w:p w14:paraId="365773E9" w14:textId="533A1289" w:rsidR="00C52FD5" w:rsidRDefault="00C52FD5" w:rsidP="00C52FD5">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BREVİS</w:t>
      </w:r>
      <w:r>
        <w:rPr>
          <w:rFonts w:ascii="Times New Roman" w:eastAsia="Times New Roman" w:hAnsi="Times New Roman" w:cs="Times New Roman"/>
          <w:sz w:val="24"/>
          <w:szCs w:val="24"/>
        </w:rPr>
        <w:t xml:space="preserve">    1</w:t>
      </w:r>
      <w:r w:rsidR="00A869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q/5 ml; 2</w:t>
      </w:r>
      <w:r w:rsidR="00A869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q/5 ml venadaxili və əzələdaxili inyeksiya/infuziya üçün məhlul</w:t>
      </w:r>
    </w:p>
    <w:p w14:paraId="54068EB4"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BREVIS</w:t>
      </w:r>
      <w:r>
        <w:rPr>
          <w:rFonts w:ascii="Times New Roman" w:eastAsia="Times New Roman" w:hAnsi="Times New Roman" w:cs="Times New Roman"/>
          <w:sz w:val="24"/>
          <w:szCs w:val="24"/>
          <w:vertAlign w:val="superscript"/>
        </w:rPr>
        <w:t>®</w:t>
      </w:r>
    </w:p>
    <w:p w14:paraId="1A9D8029" w14:textId="77777777" w:rsidR="00C52FD5" w:rsidRDefault="00C52FD5" w:rsidP="00C52FD5">
      <w:pPr>
        <w:spacing w:after="0" w:line="240" w:lineRule="auto"/>
        <w:jc w:val="center"/>
        <w:rPr>
          <w:rFonts w:ascii="Times New Roman" w:eastAsia="Times New Roman" w:hAnsi="Times New Roman" w:cs="Times New Roman"/>
          <w:sz w:val="24"/>
          <w:szCs w:val="24"/>
        </w:rPr>
      </w:pPr>
    </w:p>
    <w:p w14:paraId="274A6689"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Beynəlxalq patentləşdirilməmiş adı:  </w:t>
      </w:r>
      <w:r>
        <w:rPr>
          <w:rFonts w:ascii="Times New Roman" w:eastAsia="Times New Roman" w:hAnsi="Times New Roman" w:cs="Times New Roman"/>
          <w:sz w:val="24"/>
          <w:szCs w:val="24"/>
        </w:rPr>
        <w:t>Levocarnitine</w:t>
      </w:r>
    </w:p>
    <w:p w14:paraId="6C4C4DBD" w14:textId="77777777" w:rsidR="00C52FD5" w:rsidRDefault="00C52FD5" w:rsidP="00C52FD5">
      <w:pPr>
        <w:spacing w:after="0" w:line="240" w:lineRule="auto"/>
        <w:rPr>
          <w:rFonts w:ascii="Times New Roman" w:eastAsia="Times New Roman" w:hAnsi="Times New Roman" w:cs="Times New Roman"/>
          <w:b/>
          <w:sz w:val="24"/>
          <w:szCs w:val="24"/>
        </w:rPr>
      </w:pPr>
    </w:p>
    <w:p w14:paraId="464F3FCD" w14:textId="77777777" w:rsidR="00C52FD5" w:rsidRDefault="00C52FD5" w:rsidP="00C52F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Tərkibi</w:t>
      </w:r>
    </w:p>
    <w:p w14:paraId="25B96DBD" w14:textId="59915F80"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Təsiredici maddə:</w:t>
      </w:r>
      <w:r>
        <w:rPr>
          <w:rFonts w:ascii="Times New Roman" w:eastAsia="Times New Roman" w:hAnsi="Times New Roman" w:cs="Times New Roman"/>
          <w:sz w:val="24"/>
          <w:szCs w:val="24"/>
        </w:rPr>
        <w:t xml:space="preserve">   5 ml məhlulun tərkibində 1 q </w:t>
      </w:r>
      <w:r w:rsidR="009164A6">
        <w:rPr>
          <w:rFonts w:ascii="Times New Roman" w:eastAsia="Times New Roman" w:hAnsi="Times New Roman" w:cs="Times New Roman"/>
          <w:sz w:val="24"/>
          <w:szCs w:val="24"/>
        </w:rPr>
        <w:t xml:space="preserve">və ya 2 q </w:t>
      </w:r>
      <w:r>
        <w:rPr>
          <w:rFonts w:ascii="Times New Roman" w:eastAsia="Times New Roman" w:hAnsi="Times New Roman" w:cs="Times New Roman"/>
          <w:sz w:val="24"/>
          <w:szCs w:val="24"/>
        </w:rPr>
        <w:t xml:space="preserve">levokarnitin vardır. </w:t>
      </w:r>
    </w:p>
    <w:p w14:paraId="55B3C20D"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Köməkçi maddələr:</w:t>
      </w:r>
      <w:r>
        <w:rPr>
          <w:rFonts w:ascii="Times New Roman" w:eastAsia="Times New Roman" w:hAnsi="Times New Roman" w:cs="Times New Roman"/>
          <w:sz w:val="24"/>
          <w:szCs w:val="24"/>
        </w:rPr>
        <w:t xml:space="preserve"> xlorid turşusu, inyeksiya üçün su. </w:t>
      </w:r>
    </w:p>
    <w:p w14:paraId="2BAB3919" w14:textId="77777777" w:rsidR="00C52FD5" w:rsidRDefault="00C52FD5" w:rsidP="00C52FD5">
      <w:pPr>
        <w:spacing w:after="0" w:line="240" w:lineRule="auto"/>
        <w:rPr>
          <w:rFonts w:ascii="Times New Roman" w:eastAsia="Times New Roman" w:hAnsi="Times New Roman" w:cs="Times New Roman"/>
          <w:b/>
          <w:sz w:val="24"/>
          <w:szCs w:val="24"/>
          <w:highlight w:val="yellow"/>
        </w:rPr>
      </w:pPr>
    </w:p>
    <w:p w14:paraId="62BA30B2" w14:textId="77777777" w:rsidR="00C52FD5" w:rsidRDefault="00C52FD5" w:rsidP="00C52F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Təsviri</w:t>
      </w:r>
    </w:p>
    <w:p w14:paraId="1BEB1AD9"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Şəffaf, rəngsiz inyeksiya üçün məhluldur.</w:t>
      </w:r>
    </w:p>
    <w:p w14:paraId="2571A5D0" w14:textId="77777777" w:rsidR="00C52FD5" w:rsidRDefault="00C52FD5" w:rsidP="00C52FD5">
      <w:pPr>
        <w:spacing w:after="0" w:line="240" w:lineRule="auto"/>
        <w:rPr>
          <w:rFonts w:ascii="Times New Roman" w:eastAsia="Times New Roman" w:hAnsi="Times New Roman" w:cs="Times New Roman"/>
          <w:b/>
          <w:sz w:val="24"/>
          <w:szCs w:val="24"/>
        </w:rPr>
      </w:pPr>
    </w:p>
    <w:p w14:paraId="13F2F222"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Farmakoterapevtik qrupu</w:t>
      </w:r>
    </w:p>
    <w:p w14:paraId="6A3FC676"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Antihipoksantlar və antioksidantlar. Vitaminlər və vitaminəbənzər maddələr. Digər metabolitlər.</w:t>
      </w:r>
    </w:p>
    <w:p w14:paraId="2BAD7AFB"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Zülallar və aminturşular.</w:t>
      </w:r>
    </w:p>
    <w:p w14:paraId="3953A80E"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ATC kodu: </w:t>
      </w:r>
      <w:r>
        <w:rPr>
          <w:rFonts w:ascii="Times New Roman" w:eastAsia="Times New Roman" w:hAnsi="Times New Roman" w:cs="Times New Roman"/>
          <w:sz w:val="24"/>
          <w:szCs w:val="24"/>
        </w:rPr>
        <w:t>A16AA01 (Aminturşular və törəmələri).</w:t>
      </w:r>
    </w:p>
    <w:p w14:paraId="5962F5C1" w14:textId="77777777" w:rsidR="00C52FD5" w:rsidRDefault="00C52FD5" w:rsidP="00C52F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447AD0B1" w14:textId="77777777" w:rsidR="00C52FD5" w:rsidRDefault="00C52FD5" w:rsidP="00C52F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Farmakoloji xüsusiyyətləri</w:t>
      </w:r>
    </w:p>
    <w:p w14:paraId="36A4FF80" w14:textId="77777777" w:rsidR="00C52FD5" w:rsidRDefault="00C52FD5" w:rsidP="00C52FD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Farmakodinamikası</w:t>
      </w:r>
      <w:r>
        <w:rPr>
          <w:rFonts w:ascii="Times New Roman" w:eastAsia="Times New Roman" w:hAnsi="Times New Roman" w:cs="Times New Roman"/>
          <w:b/>
          <w:sz w:val="24"/>
          <w:szCs w:val="24"/>
        </w:rPr>
        <w:t xml:space="preserve"> </w:t>
      </w:r>
    </w:p>
    <w:p w14:paraId="72EAAC3C" w14:textId="77777777" w:rsidR="00C52FD5" w:rsidRDefault="00C52FD5" w:rsidP="00C52F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L-karnitin heyvan toxumalarının, mikroorqanizmlərin və bitkilərin təbii komponentidir. İnsan fizioloji L-karnitin tələbatını karnitin tərkibli qida qəbulu ilə, həmçinin lizin və metioninin iştirakı ilə böyrəklərdə və qaraciyərdə karnitinin sintezi hesabına ödəyir. Yalnız L-izomeri bioloji aktivliyə malikdir, lipid metabolizmində vacibdir, həmçinin keton cisimciklərinin metabolizmində rol oynayır. L-karnitin uzunzəncirli yağ turşularının mitoxondrium daxilinə daşınmasında vacib faktor olub, yağ turşularının oksidləşməsini asanlaşdırır. L-carnitin KoA-karnitinasetiltransferazanın təsiri ilə KoA-nı tioefirlərindən azad edərək, Krebs dövranında da metabolik axını gücləndirir; eyni mexanizmlə o, piruvat-dehidrogenazanın aktivliyini stimullaşdırır. Beləliklə L-karnitin birbaşa və ya dolayı yolla bir neçə vacib prosesdə iştirak edir, buna görə də onun mövcudluğu önəmlidir. </w:t>
      </w:r>
    </w:p>
    <w:p w14:paraId="2FDE78BA" w14:textId="77777777" w:rsidR="00C52FD5" w:rsidRDefault="00C52FD5" w:rsidP="00C52FD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Farmakokinetikası</w:t>
      </w:r>
    </w:p>
    <w:p w14:paraId="04CA4606" w14:textId="77777777" w:rsidR="00C52FD5" w:rsidRDefault="00C52FD5" w:rsidP="00C52F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Sorulan L-karnitin qan vasitəsilə bir sıra orqan və toxumalara daşınır. Toxuma və zərdab karnitin konsentrasiyası müxtəlif metabolik proseslərdən, karnitin biosintezindən və pəhrizlə qəbulu, toxumalara və xaricə daşınmasından, deqradasiya və eksresiyadan asılıdır.</w:t>
      </w:r>
    </w:p>
    <w:p w14:paraId="5EED0E79" w14:textId="77777777" w:rsidR="00C52FD5" w:rsidRDefault="00C52FD5" w:rsidP="00C52FD5">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Absorbsiyası</w:t>
      </w:r>
    </w:p>
    <w:p w14:paraId="47511DEF" w14:textId="77777777" w:rsidR="00C52FD5" w:rsidRDefault="00C52FD5" w:rsidP="00C52F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L-karnitin nazik bağırsağın selikli qişa hüceyrələri tərəfindən sorulur və qan dövranına daxil olur; hesab edilir ki, absorbsiya aktiv translüminal mexanizmlə əlaqəlidir. </w:t>
      </w:r>
    </w:p>
    <w:p w14:paraId="0DF63BD5" w14:textId="77777777" w:rsidR="00C52FD5" w:rsidRDefault="00C52FD5" w:rsidP="00C52F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Peroral qəbuldan sonra sistem biomənimsənilməsi məhdud (təxminən &lt;10%) və dəyşkəndir.</w:t>
      </w:r>
    </w:p>
    <w:p w14:paraId="3A622455" w14:textId="77777777" w:rsidR="00C52FD5" w:rsidRDefault="00C52FD5" w:rsidP="00C52FD5">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Paylanması</w:t>
      </w:r>
    </w:p>
    <w:p w14:paraId="6218B56E" w14:textId="77777777" w:rsidR="00C52FD5" w:rsidRDefault="00C52FD5" w:rsidP="00C52F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L-karnitin sorulduqdan sonra qan vasitəsilə müxtəlif orqanlara daşınır.</w:t>
      </w:r>
      <w:r>
        <w:rPr>
          <w:rFonts w:ascii="Times New Roman" w:eastAsia="Times New Roman" w:hAnsi="Times New Roman" w:cs="Times New Roman"/>
          <w:color w:val="000000"/>
          <w:sz w:val="24"/>
          <w:szCs w:val="24"/>
        </w:rPr>
        <w:t xml:space="preserve"> </w:t>
      </w:r>
    </w:p>
    <w:p w14:paraId="68F53405" w14:textId="77777777" w:rsidR="00C52FD5" w:rsidRDefault="00C52FD5" w:rsidP="00C52FD5">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Ekskresiyası</w:t>
      </w:r>
    </w:p>
    <w:p w14:paraId="21D995B6" w14:textId="77777777" w:rsidR="00C52FD5" w:rsidRDefault="00C52FD5" w:rsidP="00C52F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L-karnitin əsasən sidiklə xaric olur. Ekskresiya qan səviyyəsi ilə birbaşa mütənasibdir. </w:t>
      </w:r>
    </w:p>
    <w:p w14:paraId="33511E31" w14:textId="77777777" w:rsidR="00C52FD5" w:rsidRDefault="00C52FD5" w:rsidP="00C52FD5">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Metabolizmi</w:t>
      </w:r>
    </w:p>
    <w:p w14:paraId="4A0004AF" w14:textId="77777777" w:rsidR="00C52FD5" w:rsidRDefault="00C52FD5" w:rsidP="00C52F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L-karnitin məhdud səviyyədə metabolizmə uğrayır. </w:t>
      </w:r>
    </w:p>
    <w:p w14:paraId="7DC080F7" w14:textId="77777777" w:rsidR="00C52FD5" w:rsidRDefault="00C52FD5" w:rsidP="007D57C8">
      <w:pPr>
        <w:spacing w:after="0" w:line="240" w:lineRule="auto"/>
        <w:jc w:val="both"/>
        <w:rPr>
          <w:rFonts w:ascii="Times New Roman" w:eastAsia="Times New Roman" w:hAnsi="Times New Roman" w:cs="Times New Roman"/>
          <w:b/>
          <w:sz w:val="24"/>
          <w:szCs w:val="24"/>
        </w:rPr>
      </w:pPr>
    </w:p>
    <w:p w14:paraId="5D208A4D"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İstifadəsinə göstərişlər</w:t>
      </w:r>
    </w:p>
    <w:p w14:paraId="44668E81" w14:textId="20587391"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Böyüklərdə, uşaqlarda, körpələrdə və yenidoğulmuşlarda birincili və ikincili karnit</w:t>
      </w:r>
      <w:r w:rsidR="007D57C8">
        <w:rPr>
          <w:rFonts w:ascii="Times New Roman" w:eastAsia="Times New Roman" w:hAnsi="Times New Roman" w:cs="Times New Roman"/>
          <w:sz w:val="24"/>
          <w:szCs w:val="24"/>
        </w:rPr>
        <w:t>in çatışmazlı</w:t>
      </w:r>
      <w:r>
        <w:rPr>
          <w:rFonts w:ascii="Times New Roman" w:eastAsia="Times New Roman" w:hAnsi="Times New Roman" w:cs="Times New Roman"/>
          <w:sz w:val="24"/>
          <w:szCs w:val="24"/>
        </w:rPr>
        <w:t xml:space="preserve">ğının müalicəsində istifadə olunur. </w:t>
      </w:r>
    </w:p>
    <w:p w14:paraId="2D75BF3C"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Hemodializ keçən xəstələrdə ikincili karnitin çatışmazlığı.</w:t>
      </w:r>
    </w:p>
    <w:p w14:paraId="19362882"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Hemodializ keçən xəstələrdə aşağıdakı hallar zamanı ikincili karnitin çatışmazlığınə şübhə olur:</w:t>
      </w:r>
    </w:p>
    <w:p w14:paraId="4DBCB02F" w14:textId="77777777" w:rsidR="00C52FD5" w:rsidRDefault="00C52FD5" w:rsidP="005E6882">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Dializ zamanı ağır və persistent əzələ qıcolmaları və/və ya hipotenziya halları.</w:t>
      </w:r>
    </w:p>
    <w:p w14:paraId="5ABFD450" w14:textId="77777777" w:rsidR="00C52FD5" w:rsidRDefault="00C52FD5" w:rsidP="005E6882">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Həyat keyfiyyətinə neqativ təsir göstərən halsızlıq.</w:t>
      </w:r>
    </w:p>
    <w:p w14:paraId="0C40E7B8" w14:textId="77777777" w:rsidR="00C52FD5" w:rsidRDefault="00C52FD5" w:rsidP="005E6882">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Skelet əzələlərinin zəifliyi və ya miopatiya.</w:t>
      </w:r>
    </w:p>
    <w:p w14:paraId="31062B7A" w14:textId="77777777" w:rsidR="00C52FD5" w:rsidRDefault="00C52FD5" w:rsidP="005E6882">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Kardiomiopatiya</w:t>
      </w:r>
    </w:p>
    <w:p w14:paraId="54BEB28C" w14:textId="77777777" w:rsidR="00C52FD5" w:rsidRDefault="00C52FD5" w:rsidP="005E6882">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Eritropoetin müalicəsinə cavab verməyən və ya daha yüksək dozalar tələb edən uremik anemiya. </w:t>
      </w:r>
    </w:p>
    <w:p w14:paraId="32D48CC9" w14:textId="77777777" w:rsidR="00C52FD5" w:rsidRDefault="00C52FD5" w:rsidP="005E6882">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Qidalanmanın natamam olması ilə əlaqəli əzələ kütləsinin azalması.</w:t>
      </w:r>
    </w:p>
    <w:p w14:paraId="1F29D263" w14:textId="77777777" w:rsidR="00C52FD5" w:rsidRDefault="00C52FD5" w:rsidP="007D57C8">
      <w:pPr>
        <w:spacing w:after="0" w:line="240" w:lineRule="auto"/>
        <w:jc w:val="both"/>
        <w:rPr>
          <w:rFonts w:ascii="Times New Roman" w:eastAsia="Times New Roman" w:hAnsi="Times New Roman" w:cs="Times New Roman"/>
          <w:sz w:val="24"/>
          <w:szCs w:val="24"/>
        </w:rPr>
      </w:pPr>
    </w:p>
    <w:p w14:paraId="2278F1DD"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Əks göstərişlər</w:t>
      </w:r>
    </w:p>
    <w:p w14:paraId="14E37338"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Preparatın tərkibindəki hər hansı komponentə qarşı yüksək həssaslıq.</w:t>
      </w:r>
      <w:r>
        <w:rPr>
          <w:rFonts w:ascii="Times New Roman" w:eastAsia="Times New Roman" w:hAnsi="Times New Roman" w:cs="Times New Roman"/>
          <w:b/>
          <w:sz w:val="24"/>
          <w:szCs w:val="24"/>
        </w:rPr>
        <w:t xml:space="preserve"> </w:t>
      </w:r>
    </w:p>
    <w:p w14:paraId="74C7ED34" w14:textId="77777777" w:rsidR="00C52FD5" w:rsidRDefault="00C52FD5" w:rsidP="007D57C8">
      <w:pPr>
        <w:spacing w:after="0" w:line="240" w:lineRule="auto"/>
        <w:jc w:val="both"/>
        <w:rPr>
          <w:rFonts w:ascii="Times New Roman" w:eastAsia="Times New Roman" w:hAnsi="Times New Roman" w:cs="Times New Roman"/>
          <w:sz w:val="24"/>
          <w:szCs w:val="24"/>
        </w:rPr>
      </w:pPr>
    </w:p>
    <w:p w14:paraId="34E3D722"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Xüsusi göstərişlər və ehtiyat tədbirləri</w:t>
      </w:r>
    </w:p>
    <w:p w14:paraId="23C0F4EA"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Peroral hipoqlikemik müalicə və ya insulin qəbul edən diabetli xəstələrdə L-karnitin istifadəsi qlükozanın mənimsənilməsini yaxşılaşdırdığı üçün hipoqlikemiyaya səbəb ola bilər. Bu pasiyentlərdə qanda qlükozanın səviyyəsini daima nəzarətdə saxlamaq lazımdır ki, ehtiyac olarsa hipoqlikemik müalicə korreksiya olunsun. Böyrək çatışmazlığı olan pasiyentlərdə peroral L-karnitinlə müalicənin effektivliyi və təhlükəsizliyi müəyyən edilməmişdir. Ağır böyrək çatışmazlığı olan və ya böyrək xəstəliklərinin son stadiyasında dializ keçən xəstələrə yüksək dozalarda peroral L-karnitinin xroniki təyini potensial toksik metabolitlərin, trimetilamin və tirmetilamin-N-oksidin kumulyasiyasına səbəb ola bilər, çünki bu metabolitlər sidiklə xaric olur. Bu vəziyyət L-karnitinin venadaxili təyinindən sonra müşahidə olunmamışdır.  </w:t>
      </w:r>
    </w:p>
    <w:p w14:paraId="3C808C60" w14:textId="77777777" w:rsidR="00C52FD5" w:rsidRDefault="00C52FD5" w:rsidP="007D57C8">
      <w:pPr>
        <w:spacing w:after="0" w:line="240" w:lineRule="auto"/>
        <w:jc w:val="both"/>
        <w:rPr>
          <w:rFonts w:ascii="Times New Roman" w:eastAsia="Times New Roman" w:hAnsi="Times New Roman" w:cs="Times New Roman"/>
          <w:sz w:val="24"/>
          <w:szCs w:val="24"/>
        </w:rPr>
      </w:pPr>
    </w:p>
    <w:p w14:paraId="2A9610C6"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Digər dərman vasitələri ilə qarşılıqlı təsiri </w:t>
      </w:r>
    </w:p>
    <w:p w14:paraId="5A0E43DC"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Digər dərman vasitələri ilə qarşılıqlı təsiri məlum deyil. </w:t>
      </w:r>
    </w:p>
    <w:p w14:paraId="704E3725" w14:textId="77777777" w:rsidR="00C52FD5" w:rsidRDefault="00C52FD5" w:rsidP="007D57C8">
      <w:pPr>
        <w:spacing w:after="0" w:line="240" w:lineRule="auto"/>
        <w:jc w:val="both"/>
        <w:rPr>
          <w:rFonts w:ascii="Times New Roman" w:eastAsia="Times New Roman" w:hAnsi="Times New Roman" w:cs="Times New Roman"/>
          <w:sz w:val="24"/>
          <w:szCs w:val="24"/>
        </w:rPr>
      </w:pPr>
    </w:p>
    <w:p w14:paraId="03A679AF"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Hamiləlik və laktasiya dövründə istifadəsi</w:t>
      </w:r>
    </w:p>
    <w:p w14:paraId="2496F023"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Preparatı istifadə etməzdən öncə hamilələr, hamiləliyi planlaşdıran qadınlar və ya preparatı istifadə edən müddət ərzində hamilə qalan qadınlar həkimlə məsləhətləşməlidirlər. Müalicə həkimi peparatın istifadəsinin başlanması və ya davam etdirilməsi barədə qərar verə bilər.</w:t>
      </w:r>
    </w:p>
    <w:p w14:paraId="4D874615"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Südverən analar preparatı qəbul etməzdən öncə həkimlə məsləhətləşməlidirlər. </w:t>
      </w:r>
    </w:p>
    <w:p w14:paraId="59986586"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67BB3F9"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Nəqliyyat vasitələrini və digər potensial təhlükəli mexanizmləri idarəetmə qabiliyyətinə təsiri</w:t>
      </w:r>
    </w:p>
    <w:p w14:paraId="12B43FAF"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Nəqliyyat vasitələrini və digər potensial təhlükəli mexanizmləri idarəetmə qabiliyyətinə təsiri məlum deyil. </w:t>
      </w:r>
    </w:p>
    <w:p w14:paraId="27FBE974" w14:textId="77777777" w:rsidR="00C52FD5" w:rsidRDefault="00C52FD5" w:rsidP="007D57C8">
      <w:pPr>
        <w:spacing w:after="0" w:line="240" w:lineRule="auto"/>
        <w:jc w:val="both"/>
        <w:rPr>
          <w:rFonts w:ascii="Times New Roman" w:eastAsia="Times New Roman" w:hAnsi="Times New Roman" w:cs="Times New Roman"/>
          <w:sz w:val="24"/>
          <w:szCs w:val="24"/>
        </w:rPr>
      </w:pPr>
    </w:p>
    <w:p w14:paraId="0637C88F"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İstifadə qaydası və dozası</w:t>
      </w:r>
    </w:p>
    <w:p w14:paraId="2515B905"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Venadaxili yavaş yeridilməlidir (2-3 dəqiqə ərzində)</w:t>
      </w:r>
    </w:p>
    <w:p w14:paraId="4D67A897" w14:textId="77777777" w:rsidR="00C52FD5" w:rsidRPr="009164A6" w:rsidRDefault="00C52FD5" w:rsidP="007D57C8">
      <w:pPr>
        <w:spacing w:after="0" w:line="240" w:lineRule="auto"/>
        <w:jc w:val="both"/>
        <w:rPr>
          <w:rFonts w:ascii="Times New Roman" w:eastAsia="Times New Roman" w:hAnsi="Times New Roman" w:cs="Times New Roman"/>
          <w:bCs/>
          <w:i/>
          <w:iCs/>
          <w:sz w:val="24"/>
          <w:szCs w:val="24"/>
        </w:rPr>
      </w:pPr>
      <w:r w:rsidRPr="009164A6">
        <w:rPr>
          <w:rFonts w:ascii="Times New Roman" w:eastAsia="Times New Roman" w:hAnsi="Times New Roman" w:cs="Times New Roman"/>
          <w:bCs/>
          <w:i/>
          <w:iCs/>
          <w:sz w:val="24"/>
          <w:szCs w:val="24"/>
        </w:rPr>
        <w:t>Böyüklər, uşaqlar, körpələr və yenidoğulmuşlar</w:t>
      </w:r>
    </w:p>
    <w:p w14:paraId="1CBB9667"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Müalicəni qanda və sidikdə karnitin və asilkarnitin səviyyəsini müəyyən etməklə tənzimləmək məsləhətdir. </w:t>
      </w:r>
    </w:p>
    <w:p w14:paraId="6385B652" w14:textId="77777777" w:rsidR="00C52FD5" w:rsidRDefault="00C52FD5" w:rsidP="007D57C8">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İlkin karnitin çatışmazlığı</w:t>
      </w:r>
    </w:p>
    <w:p w14:paraId="1BB05DE1"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Dozalanma metabolizmin pozğunluq səviyyəsindən və müalicə dövründəki vəziyyətdən asılıdır. </w:t>
      </w:r>
    </w:p>
    <w:p w14:paraId="580E3E67"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Kəskin dekompensasiya zamanı məsləhət görülən doza hər kq bədən kütləsinə 100 mq təşkil edir. Bu dozanın istifadəsi gündə 3-4 dəfəyə bölünə bilər. </w:t>
      </w:r>
    </w:p>
    <w:p w14:paraId="357CE211" w14:textId="77777777" w:rsidR="00C52FD5" w:rsidRDefault="00C52FD5" w:rsidP="007D57C8">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İkincili karnitin çatışmazlığı</w:t>
      </w:r>
    </w:p>
    <w:p w14:paraId="12F96831" w14:textId="77777777" w:rsidR="00C52FD5" w:rsidRDefault="00C52FD5" w:rsidP="007D57C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Preparatı istifadə etməzdən öncə plazmada karnitinin səviyyəsini yoxlamaq lazımdır. İkincili karnitin çatışmazlığı zamanı asilkarnitin/sərbəst karnitin nisbəti 0,4-dən yüksək və/və ya sərbəst karnitin konsentrasiyası 20 μmol/l-dən aşağı olur</w:t>
      </w:r>
      <w:r>
        <w:rPr>
          <w:rFonts w:ascii="Times New Roman" w:eastAsia="Times New Roman" w:hAnsi="Times New Roman" w:cs="Times New Roman"/>
          <w:color w:val="000000"/>
          <w:sz w:val="24"/>
          <w:szCs w:val="24"/>
        </w:rPr>
        <w:t>.</w:t>
      </w:r>
    </w:p>
    <w:p w14:paraId="051ED441" w14:textId="5BD1FCAD"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Hər dializ prosedu</w:t>
      </w:r>
      <w:r w:rsidR="007D57C8">
        <w:rPr>
          <w:rFonts w:ascii="Times New Roman" w:eastAsia="Times New Roman" w:hAnsi="Times New Roman" w:cs="Times New Roman"/>
          <w:sz w:val="24"/>
          <w:szCs w:val="24"/>
        </w:rPr>
        <w:t xml:space="preserve">rundan (adətən həftədə 3 dəfə) </w:t>
      </w:r>
      <w:r>
        <w:rPr>
          <w:rFonts w:ascii="Times New Roman" w:eastAsia="Times New Roman" w:hAnsi="Times New Roman" w:cs="Times New Roman"/>
          <w:sz w:val="24"/>
          <w:szCs w:val="24"/>
        </w:rPr>
        <w:t>sonra preparat hər kq bədən kütləsinə 20 mq olmaqla venaya yeridilir. İntravenoz müalicənin müddəti ən azı 3 ay olmalıdır. Çünki əzələlərdə normal karnitin səviyyəsi üçün bu müddət tələb olunur. Müa</w:t>
      </w:r>
      <w:r w:rsidR="007D57C8">
        <w:rPr>
          <w:rFonts w:ascii="Times New Roman" w:eastAsia="Times New Roman" w:hAnsi="Times New Roman" w:cs="Times New Roman"/>
          <w:sz w:val="24"/>
          <w:szCs w:val="24"/>
        </w:rPr>
        <w:t>licəyə ümumi cavabı dəyərləndir</w:t>
      </w:r>
      <w:r>
        <w:rPr>
          <w:rFonts w:ascii="Times New Roman" w:eastAsia="Times New Roman" w:hAnsi="Times New Roman" w:cs="Times New Roman"/>
          <w:sz w:val="24"/>
          <w:szCs w:val="24"/>
        </w:rPr>
        <w:t xml:space="preserve">mək üçün plazmada asilkarnitin, karnitin səviyyələri yoxlanılmalı və pasiyentin vəziyyəti nəzərə alınmalıdır. Karnitin istifadəsi dayandırıldıqdan sonra karnitin </w:t>
      </w:r>
      <w:r w:rsidR="007D57C8">
        <w:rPr>
          <w:rFonts w:ascii="Times New Roman" w:eastAsia="Times New Roman" w:hAnsi="Times New Roman" w:cs="Times New Roman"/>
          <w:sz w:val="24"/>
          <w:szCs w:val="24"/>
        </w:rPr>
        <w:t>səviyyəsi tədricən enməyə başla</w:t>
      </w:r>
      <w:r>
        <w:rPr>
          <w:rFonts w:ascii="Times New Roman" w:eastAsia="Times New Roman" w:hAnsi="Times New Roman" w:cs="Times New Roman"/>
          <w:sz w:val="24"/>
          <w:szCs w:val="24"/>
        </w:rPr>
        <w:t>yır. Təkrari kursa ehtiyac pasiyentin vəziyyəti və vaxtaşırı karnit</w:t>
      </w:r>
      <w:r w:rsidR="009774CD">
        <w:rPr>
          <w:rFonts w:ascii="Times New Roman" w:eastAsia="Times New Roman" w:hAnsi="Times New Roman" w:cs="Times New Roman"/>
          <w:sz w:val="24"/>
          <w:szCs w:val="24"/>
        </w:rPr>
        <w:t>i</w:t>
      </w:r>
      <w:r>
        <w:rPr>
          <w:rFonts w:ascii="Times New Roman" w:eastAsia="Times New Roman" w:hAnsi="Times New Roman" w:cs="Times New Roman"/>
          <w:sz w:val="24"/>
          <w:szCs w:val="24"/>
        </w:rPr>
        <w:t>n səviyyəsinin yoxlanma</w:t>
      </w:r>
      <w:r w:rsidR="007D57C8">
        <w:rPr>
          <w:rFonts w:ascii="Times New Roman" w:eastAsia="Times New Roman" w:hAnsi="Times New Roman" w:cs="Times New Roman"/>
          <w:sz w:val="24"/>
          <w:szCs w:val="24"/>
        </w:rPr>
        <w:t>sı nəti</w:t>
      </w:r>
      <w:r>
        <w:rPr>
          <w:rFonts w:ascii="Times New Roman" w:eastAsia="Times New Roman" w:hAnsi="Times New Roman" w:cs="Times New Roman"/>
          <w:sz w:val="24"/>
          <w:szCs w:val="24"/>
        </w:rPr>
        <w:t xml:space="preserve">cəsində müəyyən edilir. </w:t>
      </w:r>
    </w:p>
    <w:p w14:paraId="0AC17ACA" w14:textId="77777777" w:rsidR="00C52FD5" w:rsidRDefault="00C52FD5" w:rsidP="007D57C8">
      <w:pPr>
        <w:spacing w:after="0" w:line="240" w:lineRule="auto"/>
        <w:jc w:val="both"/>
        <w:rPr>
          <w:rFonts w:ascii="Times New Roman" w:eastAsia="Times New Roman" w:hAnsi="Times New Roman" w:cs="Times New Roman"/>
          <w:b/>
          <w:sz w:val="24"/>
          <w:szCs w:val="24"/>
        </w:rPr>
      </w:pPr>
    </w:p>
    <w:p w14:paraId="3B903B33"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Əlavə təsirləri</w:t>
      </w:r>
    </w:p>
    <w:p w14:paraId="273BE6A0" w14:textId="038566F6"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Dozanın azaldılması preparatla əlaqəli bədəndən gələn qoxun</w:t>
      </w:r>
      <w:r w:rsidR="007D57C8">
        <w:rPr>
          <w:rFonts w:ascii="Times New Roman" w:eastAsia="Times New Roman" w:hAnsi="Times New Roman" w:cs="Times New Roman"/>
          <w:sz w:val="24"/>
          <w:szCs w:val="24"/>
        </w:rPr>
        <w:t>u və ya mədə-bağırsaq simptomla</w:t>
      </w:r>
      <w:r>
        <w:rPr>
          <w:rFonts w:ascii="Times New Roman" w:eastAsia="Times New Roman" w:hAnsi="Times New Roman" w:cs="Times New Roman"/>
          <w:sz w:val="24"/>
          <w:szCs w:val="24"/>
        </w:rPr>
        <w:t xml:space="preserve">rını azaldır. Preparata qarşı tolerantlığı müalicənin ilk həftəsində və hər dəfə dozanı artırdıqdan sonra yoxlamaq lazımdır. </w:t>
      </w:r>
    </w:p>
    <w:p w14:paraId="21D76FFC" w14:textId="6FC881A2" w:rsidR="009774CD" w:rsidRDefault="009774CD"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Çox nadir hallarda ürəkbul</w:t>
      </w:r>
      <w:r w:rsidR="0070435B">
        <w:rPr>
          <w:rFonts w:ascii="Times New Roman" w:eastAsia="Times New Roman" w:hAnsi="Times New Roman" w:cs="Times New Roman"/>
          <w:sz w:val="24"/>
          <w:szCs w:val="24"/>
        </w:rPr>
        <w:t>anma, qusma, ishal, qarın ağrısı, bədən qoxusu, İNR yüksəlməsi qeyd olunmuşdur.</w:t>
      </w:r>
    </w:p>
    <w:p w14:paraId="400B4C76" w14:textId="77777777" w:rsidR="00C52FD5" w:rsidRDefault="00C52FD5" w:rsidP="007D57C8">
      <w:pPr>
        <w:spacing w:after="0" w:line="240" w:lineRule="auto"/>
        <w:jc w:val="both"/>
        <w:rPr>
          <w:rFonts w:ascii="Times New Roman" w:eastAsia="Times New Roman" w:hAnsi="Times New Roman" w:cs="Times New Roman"/>
          <w:sz w:val="24"/>
          <w:szCs w:val="24"/>
        </w:rPr>
      </w:pPr>
    </w:p>
    <w:p w14:paraId="0C811786"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Doza həddinin aşılması</w:t>
      </w:r>
    </w:p>
    <w:p w14:paraId="4F701C30"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Doza həddinin aşılması barədə məlumat yoxdur. Doza həddinin aşılması müşahidə olunarsa, dəstəkləyici terapiya aparılmalıdır.</w:t>
      </w:r>
    </w:p>
    <w:p w14:paraId="1AF6333C" w14:textId="77777777" w:rsidR="00C52FD5" w:rsidRDefault="00C52FD5" w:rsidP="007D57C8">
      <w:pPr>
        <w:spacing w:after="0" w:line="240" w:lineRule="auto"/>
        <w:jc w:val="both"/>
        <w:rPr>
          <w:rFonts w:ascii="Times New Roman" w:eastAsia="Times New Roman" w:hAnsi="Times New Roman" w:cs="Times New Roman"/>
          <w:sz w:val="24"/>
          <w:szCs w:val="24"/>
        </w:rPr>
      </w:pPr>
    </w:p>
    <w:p w14:paraId="72183772"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Buraxılış forması</w:t>
      </w:r>
    </w:p>
    <w:p w14:paraId="26140887" w14:textId="3023CFBE"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ml məhlul (1 q/5 ml və ya 2 q/5 ml) kəhrəba rəngli şüşə ampulda.  5 ampul içlik vərəqə ilə birgə karton qutuya qablaşdırılır.  </w:t>
      </w:r>
    </w:p>
    <w:p w14:paraId="6997DD1C" w14:textId="77777777" w:rsidR="00C52FD5" w:rsidRDefault="00C52FD5" w:rsidP="007D57C8">
      <w:pPr>
        <w:spacing w:after="0" w:line="240" w:lineRule="auto"/>
        <w:jc w:val="both"/>
        <w:rPr>
          <w:rFonts w:ascii="Times New Roman" w:eastAsia="Times New Roman" w:hAnsi="Times New Roman" w:cs="Times New Roman"/>
          <w:sz w:val="24"/>
          <w:szCs w:val="24"/>
        </w:rPr>
      </w:pPr>
    </w:p>
    <w:p w14:paraId="020A729D"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Saxlanma şəraiti</w:t>
      </w:r>
    </w:p>
    <w:p w14:paraId="65DB92AD" w14:textId="0FA796BE"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7D57C8">
        <w:rPr>
          <w:rFonts w:ascii="Times New Roman" w:eastAsia="Times New Roman" w:hAnsi="Times New Roman" w:cs="Times New Roman"/>
          <w:sz w:val="24"/>
          <w:szCs w:val="24"/>
          <w:vertAlign w:val="superscript"/>
        </w:rPr>
        <w:sym w:font="Symbol" w:char="F0B0"/>
      </w:r>
      <w:r>
        <w:rPr>
          <w:rFonts w:ascii="Times New Roman" w:eastAsia="Times New Roman" w:hAnsi="Times New Roman" w:cs="Times New Roman"/>
          <w:sz w:val="24"/>
          <w:szCs w:val="24"/>
        </w:rPr>
        <w:t>C-dən aşağı temperaturda, orijinal qablaşdırmada, işıqdan qorunan</w:t>
      </w:r>
      <w:r w:rsidR="007D57C8">
        <w:rPr>
          <w:rFonts w:ascii="Times New Roman" w:eastAsia="Times New Roman" w:hAnsi="Times New Roman" w:cs="Times New Roman"/>
          <w:sz w:val="24"/>
          <w:szCs w:val="24"/>
        </w:rPr>
        <w:t xml:space="preserve"> və uşaqların əli çatmayan yerdə </w:t>
      </w:r>
      <w:r>
        <w:rPr>
          <w:rFonts w:ascii="Times New Roman" w:eastAsia="Times New Roman" w:hAnsi="Times New Roman" w:cs="Times New Roman"/>
          <w:sz w:val="24"/>
          <w:szCs w:val="24"/>
        </w:rPr>
        <w:t>saxlamaq lazımdır.</w:t>
      </w:r>
    </w:p>
    <w:p w14:paraId="3396E60B" w14:textId="77777777" w:rsidR="00C52FD5" w:rsidRDefault="00C52FD5" w:rsidP="007D57C8">
      <w:pPr>
        <w:spacing w:after="0" w:line="240" w:lineRule="auto"/>
        <w:jc w:val="both"/>
        <w:rPr>
          <w:rFonts w:ascii="Times New Roman" w:eastAsia="Times New Roman" w:hAnsi="Times New Roman" w:cs="Times New Roman"/>
          <w:sz w:val="24"/>
          <w:szCs w:val="24"/>
        </w:rPr>
      </w:pPr>
    </w:p>
    <w:p w14:paraId="3F0413C1"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Yararlılıq müddəti</w:t>
      </w:r>
    </w:p>
    <w:p w14:paraId="1A76B233" w14:textId="4B8ABE39" w:rsidR="00C52FD5" w:rsidRDefault="009164A6"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il.</w:t>
      </w:r>
    </w:p>
    <w:p w14:paraId="569F1542"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Yararlılıq müddəti bitdikdən sonra istifadə etmək olmaz.</w:t>
      </w:r>
    </w:p>
    <w:p w14:paraId="2FFF70CD" w14:textId="77777777" w:rsidR="00C52FD5" w:rsidRDefault="00C52FD5" w:rsidP="007D57C8">
      <w:pPr>
        <w:spacing w:after="0" w:line="240" w:lineRule="auto"/>
        <w:jc w:val="both"/>
        <w:rPr>
          <w:rFonts w:ascii="Times New Roman" w:eastAsia="Times New Roman" w:hAnsi="Times New Roman" w:cs="Times New Roman"/>
          <w:b/>
          <w:sz w:val="24"/>
          <w:szCs w:val="24"/>
        </w:rPr>
      </w:pPr>
    </w:p>
    <w:p w14:paraId="75972A8E"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Aptekdən buraxılma şərti</w:t>
      </w:r>
    </w:p>
    <w:p w14:paraId="434891BB" w14:textId="77777777" w:rsidR="00C52FD5" w:rsidRDefault="00C52FD5" w:rsidP="007D57C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Resept əsasında buraxılır.</w:t>
      </w:r>
    </w:p>
    <w:p w14:paraId="520B8E6C" w14:textId="77777777" w:rsidR="00C52FD5" w:rsidRDefault="00C52FD5" w:rsidP="007D57C8">
      <w:pPr>
        <w:spacing w:after="0" w:line="240" w:lineRule="auto"/>
        <w:jc w:val="both"/>
        <w:rPr>
          <w:rFonts w:ascii="Cambria" w:eastAsia="Cambria" w:hAnsi="Cambria" w:cs="Cambria"/>
          <w:b/>
          <w:sz w:val="28"/>
          <w:szCs w:val="28"/>
        </w:rPr>
      </w:pPr>
    </w:p>
    <w:p w14:paraId="206396C2" w14:textId="77777777" w:rsidR="00C52FD5" w:rsidRDefault="00C52FD5" w:rsidP="007D57C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İstehsalçı</w:t>
      </w:r>
    </w:p>
    <w:p w14:paraId="279B5BEE" w14:textId="2C1C3608" w:rsidR="00C52FD5" w:rsidRDefault="00C52FD5" w:rsidP="007D57C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RAFARM S.A.</w:t>
      </w:r>
    </w:p>
    <w:p w14:paraId="0E228FEE" w14:textId="77777777" w:rsidR="00C52FD5" w:rsidRDefault="00C52FD5" w:rsidP="007D57C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Thesi Pousi-Xatzi Agiou Louka, Paiania, Attiki, 19002, P.O. Box 37, Greece.</w:t>
      </w:r>
    </w:p>
    <w:p w14:paraId="58999AB0" w14:textId="77777777" w:rsidR="00C52FD5" w:rsidRDefault="00C52FD5" w:rsidP="007D57C8">
      <w:pPr>
        <w:pStyle w:val="a3"/>
        <w:jc w:val="both"/>
        <w:rPr>
          <w:b/>
          <w:bCs/>
          <w:sz w:val="24"/>
          <w:szCs w:val="24"/>
          <w:lang w:val="az-Latn-AZ"/>
        </w:rPr>
      </w:pPr>
      <w:bookmarkStart w:id="2" w:name="_Hlk65254786"/>
    </w:p>
    <w:p w14:paraId="56882097" w14:textId="5CC3A4E4" w:rsidR="00C52FD5" w:rsidRPr="003C21D9" w:rsidRDefault="00C52FD5" w:rsidP="007D57C8">
      <w:pPr>
        <w:pStyle w:val="a3"/>
        <w:jc w:val="both"/>
        <w:rPr>
          <w:b/>
          <w:bCs/>
          <w:sz w:val="24"/>
          <w:szCs w:val="24"/>
          <w:lang w:val="az-Latn-AZ"/>
        </w:rPr>
      </w:pPr>
      <w:r w:rsidRPr="003C21D9">
        <w:rPr>
          <w:b/>
          <w:bCs/>
          <w:sz w:val="24"/>
          <w:szCs w:val="24"/>
          <w:lang w:val="az-Latn-AZ"/>
        </w:rPr>
        <w:t>Qeydiyyat vəs</w:t>
      </w:r>
      <w:r>
        <w:rPr>
          <w:b/>
          <w:bCs/>
          <w:sz w:val="24"/>
          <w:szCs w:val="24"/>
          <w:lang w:val="az-Latn-AZ"/>
        </w:rPr>
        <w:t>i</w:t>
      </w:r>
      <w:r w:rsidRPr="003C21D9">
        <w:rPr>
          <w:b/>
          <w:bCs/>
          <w:sz w:val="24"/>
          <w:szCs w:val="24"/>
          <w:lang w:val="az-Latn-AZ"/>
        </w:rPr>
        <w:t>qəsinin sahibi</w:t>
      </w:r>
    </w:p>
    <w:bookmarkEnd w:id="2"/>
    <w:p w14:paraId="3A9C5DF8" w14:textId="43BA2273" w:rsidR="00C52FD5" w:rsidRDefault="00C52FD5" w:rsidP="007D57C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Referans Pharmaceuticals MMC</w:t>
      </w:r>
      <w:r w:rsidR="009164A6">
        <w:rPr>
          <w:rFonts w:ascii="Times New Roman" w:eastAsia="Times New Roman" w:hAnsi="Times New Roman" w:cs="Times New Roman"/>
          <w:color w:val="000000"/>
          <w:sz w:val="24"/>
          <w:szCs w:val="24"/>
        </w:rPr>
        <w:t>.</w:t>
      </w:r>
    </w:p>
    <w:p w14:paraId="3D3EFC0A" w14:textId="7C563D64" w:rsidR="003F72F9" w:rsidRPr="007D57C8" w:rsidRDefault="00C52FD5" w:rsidP="007D57C8">
      <w:pPr>
        <w:spacing w:after="0" w:line="240" w:lineRule="auto"/>
        <w:jc w:val="both"/>
        <w:rPr>
          <w:rFonts w:ascii="Cambria" w:eastAsia="Cambria" w:hAnsi="Cambria" w:cs="Cambria"/>
          <w:sz w:val="28"/>
          <w:szCs w:val="28"/>
          <w:lang w:val="en-GB"/>
        </w:rPr>
      </w:pPr>
      <w:r w:rsidRPr="002D1A54">
        <w:rPr>
          <w:rFonts w:ascii="Times New Roman" w:hAnsi="Times New Roman"/>
          <w:sz w:val="24"/>
          <w:szCs w:val="24"/>
          <w:lang w:val="en-GB"/>
        </w:rPr>
        <w:t>Mirzabala Mammedzad</w:t>
      </w:r>
      <w:r>
        <w:rPr>
          <w:rFonts w:ascii="Times New Roman" w:hAnsi="Times New Roman"/>
          <w:sz w:val="24"/>
          <w:szCs w:val="24"/>
          <w:lang w:val="en-GB"/>
        </w:rPr>
        <w:t>ə</w:t>
      </w:r>
      <w:r w:rsidRPr="002D1A54">
        <w:rPr>
          <w:rFonts w:ascii="Times New Roman" w:hAnsi="Times New Roman"/>
          <w:sz w:val="24"/>
          <w:szCs w:val="24"/>
          <w:lang w:val="en-GB"/>
        </w:rPr>
        <w:t>/8A, AZ1033 Bak</w:t>
      </w:r>
      <w:r>
        <w:rPr>
          <w:rFonts w:ascii="Times New Roman" w:hAnsi="Times New Roman"/>
          <w:sz w:val="24"/>
          <w:szCs w:val="24"/>
          <w:lang w:val="en-GB"/>
        </w:rPr>
        <w:t>ı, Azərbaycan.</w:t>
      </w:r>
    </w:p>
    <w:sectPr w:rsidR="003F72F9" w:rsidRPr="007D57C8" w:rsidSect="007D57C8">
      <w:pgSz w:w="11906" w:h="16838"/>
      <w:pgMar w:top="567" w:right="850" w:bottom="851"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0905CC"/>
    <w:multiLevelType w:val="multilevel"/>
    <w:tmpl w:val="2E3C3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FD5"/>
    <w:rsid w:val="003F72F9"/>
    <w:rsid w:val="005E6882"/>
    <w:rsid w:val="0070435B"/>
    <w:rsid w:val="00781260"/>
    <w:rsid w:val="007D57C8"/>
    <w:rsid w:val="009164A6"/>
    <w:rsid w:val="009774CD"/>
    <w:rsid w:val="00A8698A"/>
    <w:rsid w:val="00C52FD5"/>
    <w:rsid w:val="00DC3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9331D"/>
  <w15:docId w15:val="{3949236F-4538-46F8-A493-CFC39997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FD5"/>
    <w:pPr>
      <w:spacing w:after="200" w:line="276" w:lineRule="auto"/>
    </w:pPr>
    <w:rPr>
      <w:rFonts w:ascii="Calibri" w:eastAsia="Calibri" w:hAnsi="Calibri" w:cs="Calibri"/>
      <w:lang w:val="az-Latn-A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FD5"/>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1212</Words>
  <Characters>6915</Characters>
  <Application>Microsoft Office Word</Application>
  <DocSecurity>0</DocSecurity>
  <Lines>57</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Gunay Seyidova</dc:creator>
  <cp:keywords/>
  <dc:description/>
  <cp:lastModifiedBy>Ulduz Eyvazova</cp:lastModifiedBy>
  <cp:revision>7</cp:revision>
  <dcterms:created xsi:type="dcterms:W3CDTF">2022-11-21T10:59:00Z</dcterms:created>
  <dcterms:modified xsi:type="dcterms:W3CDTF">2023-01-05T08:18:00Z</dcterms:modified>
</cp:coreProperties>
</file>